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703C" w14:textId="77777777" w:rsidR="00E43717" w:rsidRPr="00C22710" w:rsidRDefault="00467902" w:rsidP="00C22710">
      <w:pPr>
        <w:jc w:val="center"/>
        <w:rPr>
          <w:rFonts w:ascii="Century" w:hAnsi="Century"/>
          <w:sz w:val="24"/>
          <w:szCs w:val="24"/>
        </w:rPr>
      </w:pPr>
      <w:r w:rsidRPr="00C22710">
        <w:rPr>
          <w:rFonts w:ascii="Century" w:hAnsi="Century"/>
          <w:sz w:val="24"/>
          <w:szCs w:val="24"/>
        </w:rPr>
        <w:t>Code of Ethical Conduct</w:t>
      </w:r>
    </w:p>
    <w:p w14:paraId="29EF8431" w14:textId="77777777" w:rsidR="00467902" w:rsidRPr="00467902" w:rsidRDefault="00467902" w:rsidP="00467902">
      <w:pPr>
        <w:jc w:val="center"/>
        <w:rPr>
          <w:rFonts w:ascii="Century" w:hAnsi="Century"/>
        </w:rPr>
      </w:pPr>
      <w:r>
        <w:rPr>
          <w:rFonts w:ascii="Century" w:hAnsi="Century"/>
          <w:noProof/>
        </w:rPr>
        <w:drawing>
          <wp:inline distT="0" distB="0" distL="0" distR="0" wp14:anchorId="4AA52AD1" wp14:editId="3D687615">
            <wp:extent cx="807720" cy="792480"/>
            <wp:effectExtent l="19050" t="0" r="0" b="0"/>
            <wp:docPr id="1" name="Picture 0" descr="tp logo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 logo lar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F5BE3" w14:textId="77777777" w:rsidR="00467902" w:rsidRPr="00C22710" w:rsidRDefault="00467902" w:rsidP="00467902">
      <w:pPr>
        <w:pStyle w:val="ListParagraph"/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C22710">
        <w:rPr>
          <w:rFonts w:ascii="Century" w:hAnsi="Century"/>
          <w:sz w:val="20"/>
          <w:szCs w:val="20"/>
        </w:rPr>
        <w:t>Achieve business results only through legal acts and ethical conduct.</w:t>
      </w:r>
    </w:p>
    <w:p w14:paraId="2174D075" w14:textId="5EEB06DB" w:rsidR="00467902" w:rsidRPr="00C22710" w:rsidRDefault="00467902" w:rsidP="00467902">
      <w:pPr>
        <w:pStyle w:val="ListParagraph"/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C22710">
        <w:rPr>
          <w:rFonts w:ascii="Century" w:hAnsi="Century"/>
          <w:sz w:val="20"/>
          <w:szCs w:val="20"/>
        </w:rPr>
        <w:t>Comply with all Federal and state health care program requirements and with the Policies and Procedures of Therapeutic Partners, LLC (hereinafter “the company</w:t>
      </w:r>
      <w:r w:rsidR="00955715">
        <w:rPr>
          <w:rFonts w:ascii="Century" w:hAnsi="Century"/>
          <w:sz w:val="20"/>
          <w:szCs w:val="20"/>
        </w:rPr>
        <w:t>”</w:t>
      </w:r>
      <w:r w:rsidRPr="00C22710">
        <w:rPr>
          <w:rFonts w:ascii="Century" w:hAnsi="Century"/>
          <w:sz w:val="20"/>
          <w:szCs w:val="20"/>
        </w:rPr>
        <w:t>)</w:t>
      </w:r>
      <w:r w:rsidR="0004107C">
        <w:rPr>
          <w:rFonts w:ascii="Century" w:hAnsi="Century"/>
          <w:sz w:val="20"/>
          <w:szCs w:val="20"/>
        </w:rPr>
        <w:t>.</w:t>
      </w:r>
      <w:r w:rsidRPr="00C22710">
        <w:rPr>
          <w:rFonts w:ascii="Century" w:hAnsi="Century"/>
          <w:sz w:val="20"/>
          <w:szCs w:val="20"/>
        </w:rPr>
        <w:t xml:space="preserve"> </w:t>
      </w:r>
    </w:p>
    <w:p w14:paraId="196DECCD" w14:textId="19DDEC09" w:rsidR="00467902" w:rsidRPr="00C22710" w:rsidRDefault="0004107C" w:rsidP="00467902">
      <w:pPr>
        <w:pStyle w:val="ListParagraph"/>
        <w:numPr>
          <w:ilvl w:val="0"/>
          <w:numId w:val="1"/>
        </w:num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R</w:t>
      </w:r>
      <w:r w:rsidR="00467902" w:rsidRPr="00C22710">
        <w:rPr>
          <w:rFonts w:ascii="Century" w:hAnsi="Century"/>
          <w:sz w:val="20"/>
          <w:szCs w:val="20"/>
        </w:rPr>
        <w:t>ecognize potential compliance issues and to seek advice.</w:t>
      </w:r>
    </w:p>
    <w:p w14:paraId="29223536" w14:textId="71B4DD20" w:rsidR="00467902" w:rsidRPr="00C22710" w:rsidRDefault="00467902" w:rsidP="00467902">
      <w:pPr>
        <w:pStyle w:val="ListParagraph"/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C22710">
        <w:rPr>
          <w:rFonts w:ascii="Century" w:hAnsi="Century"/>
          <w:sz w:val="20"/>
          <w:szCs w:val="20"/>
        </w:rPr>
        <w:t>Report suspected violations of any Federal or State health care program requirements or of the Company’s own Policies and Procedures.</w:t>
      </w:r>
    </w:p>
    <w:p w14:paraId="20603010" w14:textId="7972E648" w:rsidR="00467902" w:rsidRPr="00C22710" w:rsidRDefault="00467902" w:rsidP="00467902">
      <w:pPr>
        <w:pStyle w:val="ListParagraph"/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C22710">
        <w:rPr>
          <w:rFonts w:ascii="Century" w:hAnsi="Century"/>
          <w:sz w:val="20"/>
          <w:szCs w:val="20"/>
        </w:rPr>
        <w:t>Refrain from offering, giving, or recei</w:t>
      </w:r>
      <w:r w:rsidR="009726FE" w:rsidRPr="00C22710">
        <w:rPr>
          <w:rFonts w:ascii="Century" w:hAnsi="Century"/>
          <w:sz w:val="20"/>
          <w:szCs w:val="20"/>
        </w:rPr>
        <w:t xml:space="preserve">ving anything of value to/from </w:t>
      </w:r>
      <w:r w:rsidRPr="00C22710">
        <w:rPr>
          <w:rFonts w:ascii="Century" w:hAnsi="Century"/>
          <w:sz w:val="20"/>
          <w:szCs w:val="20"/>
        </w:rPr>
        <w:t>anyone with whom the Company has or seeks a business or regulatory relationship</w:t>
      </w:r>
      <w:r w:rsidR="0004107C">
        <w:rPr>
          <w:rFonts w:ascii="Century" w:hAnsi="Century"/>
          <w:sz w:val="20"/>
          <w:szCs w:val="20"/>
        </w:rPr>
        <w:t>.</w:t>
      </w:r>
    </w:p>
    <w:p w14:paraId="25208851" w14:textId="47F9597B" w:rsidR="00467902" w:rsidRPr="00C22710" w:rsidRDefault="00467902" w:rsidP="00467902">
      <w:pPr>
        <w:pStyle w:val="ListParagraph"/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C22710">
        <w:rPr>
          <w:rFonts w:ascii="Century" w:hAnsi="Century"/>
          <w:sz w:val="20"/>
          <w:szCs w:val="20"/>
        </w:rPr>
        <w:t xml:space="preserve">IMMEDIATELY report </w:t>
      </w:r>
      <w:r w:rsidR="0004107C">
        <w:rPr>
          <w:rFonts w:ascii="Century" w:hAnsi="Century"/>
          <w:sz w:val="20"/>
          <w:szCs w:val="20"/>
        </w:rPr>
        <w:t>suspected</w:t>
      </w:r>
      <w:r w:rsidRPr="00C22710">
        <w:rPr>
          <w:rFonts w:ascii="Century" w:hAnsi="Century"/>
          <w:sz w:val="20"/>
          <w:szCs w:val="20"/>
        </w:rPr>
        <w:t xml:space="preserve"> fraud and/ or abuse</w:t>
      </w:r>
      <w:r w:rsidR="0004107C">
        <w:rPr>
          <w:rFonts w:ascii="Century" w:hAnsi="Century"/>
          <w:sz w:val="20"/>
          <w:szCs w:val="20"/>
        </w:rPr>
        <w:t>.</w:t>
      </w:r>
      <w:r w:rsidRPr="00C22710">
        <w:rPr>
          <w:rFonts w:ascii="Century" w:hAnsi="Century"/>
          <w:sz w:val="20"/>
          <w:szCs w:val="20"/>
        </w:rPr>
        <w:t xml:space="preserve"> </w:t>
      </w:r>
    </w:p>
    <w:p w14:paraId="6C1A4F3C" w14:textId="77777777" w:rsidR="009726FE" w:rsidRPr="00C22710" w:rsidRDefault="009726FE" w:rsidP="00467902">
      <w:pPr>
        <w:pStyle w:val="ListParagraph"/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C22710">
        <w:rPr>
          <w:rFonts w:ascii="Century" w:hAnsi="Century"/>
          <w:sz w:val="20"/>
          <w:szCs w:val="20"/>
        </w:rPr>
        <w:t>Respect the rights of the patients, including their right to privacy, and treat all patients with dignity and respect. No abuse or neglect will be tolerated.</w:t>
      </w:r>
    </w:p>
    <w:p w14:paraId="485E9966" w14:textId="77777777" w:rsidR="009726FE" w:rsidRPr="00C22710" w:rsidRDefault="009726FE" w:rsidP="00467902">
      <w:pPr>
        <w:pStyle w:val="ListParagraph"/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C22710">
        <w:rPr>
          <w:rFonts w:ascii="Century" w:hAnsi="Century"/>
          <w:sz w:val="20"/>
          <w:szCs w:val="20"/>
        </w:rPr>
        <w:t>Prepare all documentation related to the care of patients in a timely manner and ensure it is properly authorized.</w:t>
      </w:r>
      <w:r w:rsidR="00955715">
        <w:rPr>
          <w:rFonts w:ascii="Century" w:hAnsi="Century"/>
          <w:sz w:val="20"/>
          <w:szCs w:val="20"/>
        </w:rPr>
        <w:t xml:space="preserve"> Certify the correctness o</w:t>
      </w:r>
      <w:r w:rsidR="009321BB" w:rsidRPr="00C22710">
        <w:rPr>
          <w:rFonts w:ascii="Century" w:hAnsi="Century"/>
          <w:sz w:val="20"/>
          <w:szCs w:val="20"/>
        </w:rPr>
        <w:t xml:space="preserve">f records </w:t>
      </w:r>
      <w:r w:rsidR="009321BB" w:rsidRPr="00955715">
        <w:rPr>
          <w:rFonts w:ascii="Century" w:hAnsi="Century"/>
          <w:i/>
          <w:sz w:val="20"/>
          <w:szCs w:val="20"/>
        </w:rPr>
        <w:t>only</w:t>
      </w:r>
      <w:r w:rsidR="009321BB" w:rsidRPr="00C22710">
        <w:rPr>
          <w:rFonts w:ascii="Century" w:hAnsi="Century"/>
          <w:sz w:val="20"/>
          <w:szCs w:val="20"/>
        </w:rPr>
        <w:t xml:space="preserve"> when sure that the records are accurate and complete.</w:t>
      </w:r>
    </w:p>
    <w:p w14:paraId="702FA768" w14:textId="77777777" w:rsidR="009321BB" w:rsidRPr="00C22710" w:rsidRDefault="009321BB" w:rsidP="00467902">
      <w:pPr>
        <w:pStyle w:val="ListParagraph"/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C22710">
        <w:rPr>
          <w:rFonts w:ascii="Century" w:hAnsi="Century"/>
          <w:sz w:val="20"/>
          <w:szCs w:val="20"/>
        </w:rPr>
        <w:t>Follow safe work practices and comply with all applicable health and safety standards and regulations.</w:t>
      </w:r>
    </w:p>
    <w:p w14:paraId="6F363A50" w14:textId="00209F18" w:rsidR="009321BB" w:rsidRPr="00C22710" w:rsidRDefault="007F2B89" w:rsidP="00467902">
      <w:pPr>
        <w:pStyle w:val="ListParagraph"/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C22710">
        <w:rPr>
          <w:rFonts w:ascii="Century" w:hAnsi="Century"/>
          <w:sz w:val="20"/>
          <w:szCs w:val="20"/>
        </w:rPr>
        <w:t>Maintain</w:t>
      </w:r>
      <w:r w:rsidR="009321BB" w:rsidRPr="00C22710">
        <w:rPr>
          <w:rFonts w:ascii="Century" w:hAnsi="Century"/>
          <w:sz w:val="20"/>
          <w:szCs w:val="20"/>
        </w:rPr>
        <w:t xml:space="preserve"> a drug and </w:t>
      </w:r>
      <w:r w:rsidR="0004107C" w:rsidRPr="00C22710">
        <w:rPr>
          <w:rFonts w:ascii="Century" w:hAnsi="Century"/>
          <w:sz w:val="20"/>
          <w:szCs w:val="20"/>
        </w:rPr>
        <w:t>alcohol-free</w:t>
      </w:r>
      <w:r w:rsidR="009321BB" w:rsidRPr="00C22710">
        <w:rPr>
          <w:rFonts w:ascii="Century" w:hAnsi="Century"/>
          <w:sz w:val="20"/>
          <w:szCs w:val="20"/>
        </w:rPr>
        <w:t xml:space="preserve"> environment</w:t>
      </w:r>
      <w:r w:rsidR="0004107C">
        <w:rPr>
          <w:rFonts w:ascii="Century" w:hAnsi="Century"/>
          <w:sz w:val="20"/>
          <w:szCs w:val="20"/>
        </w:rPr>
        <w:t>.</w:t>
      </w:r>
    </w:p>
    <w:p w14:paraId="0E6800E2" w14:textId="77777777" w:rsidR="009321BB" w:rsidRPr="00C22710" w:rsidRDefault="009321BB" w:rsidP="00467902">
      <w:pPr>
        <w:pStyle w:val="ListParagraph"/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C22710">
        <w:rPr>
          <w:rFonts w:ascii="Century" w:hAnsi="Century"/>
          <w:sz w:val="20"/>
          <w:szCs w:val="20"/>
        </w:rPr>
        <w:t>Keep the work environment free of discrimination of harassment</w:t>
      </w:r>
      <w:r w:rsidR="007F2B89" w:rsidRPr="00C22710">
        <w:rPr>
          <w:rFonts w:ascii="Century" w:hAnsi="Century"/>
          <w:sz w:val="20"/>
          <w:szCs w:val="20"/>
        </w:rPr>
        <w:t xml:space="preserve"> due to age, race, gender, religion, sexual orientation, ethnicity, disability, or covered veteran status.</w:t>
      </w:r>
    </w:p>
    <w:p w14:paraId="46F68E48" w14:textId="77777777" w:rsidR="007F2B89" w:rsidRPr="00C22710" w:rsidRDefault="007F2B89" w:rsidP="00467902">
      <w:pPr>
        <w:pStyle w:val="ListParagraph"/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C22710">
        <w:rPr>
          <w:rFonts w:ascii="Century" w:hAnsi="Century"/>
          <w:sz w:val="20"/>
          <w:szCs w:val="20"/>
        </w:rPr>
        <w:t>Exclude any form of sexual harassment, including a hostile work environment.</w:t>
      </w:r>
    </w:p>
    <w:p w14:paraId="7BBD3220" w14:textId="77777777" w:rsidR="007F2B89" w:rsidRPr="00C22710" w:rsidRDefault="007F2B89" w:rsidP="00467902">
      <w:pPr>
        <w:pStyle w:val="ListParagraph"/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C22710">
        <w:rPr>
          <w:rFonts w:ascii="Century" w:hAnsi="Century"/>
          <w:sz w:val="20"/>
          <w:szCs w:val="20"/>
        </w:rPr>
        <w:t xml:space="preserve">Prepare all financial records, including billing, purchases, cash receipts and </w:t>
      </w:r>
      <w:r w:rsidR="00955715">
        <w:rPr>
          <w:rFonts w:ascii="Century" w:hAnsi="Century"/>
          <w:sz w:val="20"/>
          <w:szCs w:val="20"/>
        </w:rPr>
        <w:t>disbursements,</w:t>
      </w:r>
      <w:r w:rsidRPr="00C22710">
        <w:rPr>
          <w:rFonts w:ascii="Century" w:hAnsi="Century"/>
          <w:sz w:val="20"/>
          <w:szCs w:val="20"/>
        </w:rPr>
        <w:t xml:space="preserve"> cost reports and financial statements, in accordance with the recording and reporting requirements of all applicable federal and state</w:t>
      </w:r>
      <w:r w:rsidR="00955715">
        <w:rPr>
          <w:rFonts w:ascii="Century" w:hAnsi="Century"/>
          <w:sz w:val="20"/>
          <w:szCs w:val="20"/>
        </w:rPr>
        <w:t xml:space="preserve"> laws and i</w:t>
      </w:r>
      <w:r w:rsidRPr="00C22710">
        <w:rPr>
          <w:rFonts w:ascii="Century" w:hAnsi="Century"/>
          <w:sz w:val="20"/>
          <w:szCs w:val="20"/>
        </w:rPr>
        <w:t>n accordance with generally accepted principles. No record will be falsified, back-dated, intentionally destroyed or otherwise tampered with to gain a real or perceived advantage for the Company.</w:t>
      </w:r>
    </w:p>
    <w:p w14:paraId="2438EAE4" w14:textId="3CED5C38" w:rsidR="007F2B89" w:rsidRDefault="007F2B89" w:rsidP="00467902">
      <w:pPr>
        <w:pStyle w:val="ListParagraph"/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C22710">
        <w:rPr>
          <w:rFonts w:ascii="Century" w:hAnsi="Century"/>
          <w:sz w:val="20"/>
          <w:szCs w:val="20"/>
        </w:rPr>
        <w:t xml:space="preserve">Maintain confidentiality of patients’ protected health information and the Company’s business information, including that relating to venders, suppliers, </w:t>
      </w:r>
      <w:r w:rsidR="0004107C" w:rsidRPr="00C22710">
        <w:rPr>
          <w:rFonts w:ascii="Century" w:hAnsi="Century"/>
          <w:sz w:val="20"/>
          <w:szCs w:val="20"/>
        </w:rPr>
        <w:t>providers,</w:t>
      </w:r>
      <w:r w:rsidRPr="00C22710">
        <w:rPr>
          <w:rFonts w:ascii="Century" w:hAnsi="Century"/>
          <w:sz w:val="20"/>
          <w:szCs w:val="20"/>
        </w:rPr>
        <w:t xml:space="preserve"> and patients.</w:t>
      </w:r>
    </w:p>
    <w:p w14:paraId="2BBABDAA" w14:textId="77777777" w:rsidR="0004107C" w:rsidRPr="00C22710" w:rsidRDefault="0004107C" w:rsidP="0004107C">
      <w:pPr>
        <w:pStyle w:val="ListParagraph"/>
        <w:rPr>
          <w:rFonts w:ascii="Century" w:hAnsi="Century"/>
          <w:sz w:val="20"/>
          <w:szCs w:val="20"/>
        </w:rPr>
      </w:pPr>
    </w:p>
    <w:p w14:paraId="0EE30466" w14:textId="34760667" w:rsidR="00C22710" w:rsidRDefault="00B27B2E" w:rsidP="0004107C">
      <w:pPr>
        <w:jc w:val="center"/>
        <w:rPr>
          <w:rFonts w:ascii="Century" w:hAnsi="Century"/>
          <w:b/>
          <w:i/>
          <w:sz w:val="20"/>
          <w:szCs w:val="20"/>
        </w:rPr>
      </w:pPr>
      <w:r>
        <w:rPr>
          <w:rFonts w:ascii="Century" w:hAnsi="Century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6DB84" wp14:editId="2DA8FC52">
                <wp:simplePos x="0" y="0"/>
                <wp:positionH relativeFrom="column">
                  <wp:posOffset>2021840</wp:posOffset>
                </wp:positionH>
                <wp:positionV relativeFrom="paragraph">
                  <wp:posOffset>213802</wp:posOffset>
                </wp:positionV>
                <wp:extent cx="2739390" cy="1410335"/>
                <wp:effectExtent l="5080" t="8255" r="8255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03AA9" w14:textId="77777777" w:rsidR="00C22710" w:rsidRPr="00C22710" w:rsidRDefault="00C22710" w:rsidP="00755AAA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C22710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Therapeutic Partners, LLC Compliance Contacts:</w:t>
                            </w:r>
                          </w:p>
                          <w:p w14:paraId="37D73CFD" w14:textId="77777777" w:rsidR="00C22710" w:rsidRPr="00755AAA" w:rsidRDefault="00C22710" w:rsidP="00755AAA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b/>
                                <w:sz w:val="20"/>
                                <w:szCs w:val="20"/>
                              </w:rPr>
                            </w:pPr>
                            <w:r w:rsidRPr="00755AAA">
                              <w:rPr>
                                <w:rFonts w:ascii="Century" w:hAnsi="Century"/>
                                <w:b/>
                                <w:sz w:val="20"/>
                                <w:szCs w:val="20"/>
                              </w:rPr>
                              <w:t>Deana Jacob, Compliance Officer</w:t>
                            </w:r>
                          </w:p>
                          <w:p w14:paraId="574B7659" w14:textId="77777777" w:rsidR="00755AAA" w:rsidRDefault="00755AAA" w:rsidP="00755AAA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60 Louis Prima Dr, Ste A</w:t>
                            </w:r>
                          </w:p>
                          <w:p w14:paraId="05081644" w14:textId="77777777" w:rsidR="00755AAA" w:rsidRDefault="00755AAA" w:rsidP="00755AAA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Covington, La 70433</w:t>
                            </w:r>
                          </w:p>
                          <w:p w14:paraId="224AF1B1" w14:textId="77777777" w:rsidR="00755AAA" w:rsidRPr="00C22710" w:rsidRDefault="00755AAA" w:rsidP="00755AAA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(985)327-5427</w:t>
                            </w:r>
                          </w:p>
                          <w:p w14:paraId="3026D59D" w14:textId="77777777" w:rsidR="00C22710" w:rsidRPr="00C22710" w:rsidRDefault="00C22710" w:rsidP="00C22710">
                            <w:pPr>
                              <w:jc w:val="center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C22710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admin@therapeuticpartners.net</w:t>
                            </w:r>
                          </w:p>
                          <w:p w14:paraId="5CDDB85B" w14:textId="77777777" w:rsidR="00C22710" w:rsidRDefault="00C22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6D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2pt;margin-top:16.85pt;width:215.7pt;height:111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">
                <v:textbox>
                  <w:txbxContent>
                    <w:p w14:paraId="24003AA9" w14:textId="77777777" w:rsidR="00C22710" w:rsidRPr="00C22710" w:rsidRDefault="00C22710" w:rsidP="00755AAA">
                      <w:pPr>
                        <w:spacing w:after="0"/>
                        <w:jc w:val="center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 w:rsidRPr="00C22710">
                        <w:rPr>
                          <w:rFonts w:ascii="Century" w:hAnsi="Century"/>
                          <w:sz w:val="20"/>
                          <w:szCs w:val="20"/>
                        </w:rPr>
                        <w:t>Therapeutic Partners, LLC Compliance Contacts:</w:t>
                      </w:r>
                    </w:p>
                    <w:p w14:paraId="37D73CFD" w14:textId="77777777" w:rsidR="00C22710" w:rsidRPr="00755AAA" w:rsidRDefault="00C22710" w:rsidP="00755AAA">
                      <w:pPr>
                        <w:spacing w:after="0"/>
                        <w:jc w:val="center"/>
                        <w:rPr>
                          <w:rFonts w:ascii="Century" w:hAnsi="Century"/>
                          <w:b/>
                          <w:sz w:val="20"/>
                          <w:szCs w:val="20"/>
                        </w:rPr>
                      </w:pPr>
                      <w:r w:rsidRPr="00755AAA">
                        <w:rPr>
                          <w:rFonts w:ascii="Century" w:hAnsi="Century"/>
                          <w:b/>
                          <w:sz w:val="20"/>
                          <w:szCs w:val="20"/>
                        </w:rPr>
                        <w:t>Deana Jacob, Compliance Officer</w:t>
                      </w:r>
                    </w:p>
                    <w:p w14:paraId="574B7659" w14:textId="77777777" w:rsidR="00755AAA" w:rsidRDefault="00755AAA" w:rsidP="00755AAA">
                      <w:pPr>
                        <w:spacing w:after="0"/>
                        <w:jc w:val="center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>60 Louis Prima Dr, Ste A</w:t>
                      </w:r>
                    </w:p>
                    <w:p w14:paraId="05081644" w14:textId="77777777" w:rsidR="00755AAA" w:rsidRDefault="00755AAA" w:rsidP="00755AAA">
                      <w:pPr>
                        <w:spacing w:after="0"/>
                        <w:jc w:val="center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>Covington, La 70433</w:t>
                      </w:r>
                    </w:p>
                    <w:p w14:paraId="224AF1B1" w14:textId="77777777" w:rsidR="00755AAA" w:rsidRPr="00C22710" w:rsidRDefault="00755AAA" w:rsidP="00755AAA">
                      <w:pPr>
                        <w:spacing w:after="0"/>
                        <w:jc w:val="center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>(985)327-5427</w:t>
                      </w:r>
                    </w:p>
                    <w:p w14:paraId="3026D59D" w14:textId="77777777" w:rsidR="00C22710" w:rsidRPr="00C22710" w:rsidRDefault="00C22710" w:rsidP="00C22710">
                      <w:pPr>
                        <w:jc w:val="center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 w:rsidRPr="00C22710">
                        <w:rPr>
                          <w:rFonts w:ascii="Century" w:hAnsi="Century"/>
                          <w:sz w:val="20"/>
                          <w:szCs w:val="20"/>
                        </w:rPr>
                        <w:t>admin@therapeuticpartners.net</w:t>
                      </w:r>
                    </w:p>
                    <w:p w14:paraId="5CDDB85B" w14:textId="77777777" w:rsidR="00C22710" w:rsidRDefault="00C22710"/>
                  </w:txbxContent>
                </v:textbox>
              </v:shape>
            </w:pict>
          </mc:Fallback>
        </mc:AlternateContent>
      </w:r>
      <w:r w:rsidR="0004107C">
        <w:rPr>
          <w:rFonts w:ascii="Century" w:hAnsi="Century"/>
          <w:b/>
          <w:i/>
          <w:sz w:val="20"/>
          <w:szCs w:val="20"/>
        </w:rPr>
        <w:t>Corporate compliance concerns can be reported to:</w:t>
      </w:r>
    </w:p>
    <w:p w14:paraId="2EE07769" w14:textId="77777777" w:rsidR="0004107C" w:rsidRDefault="0004107C" w:rsidP="0004107C">
      <w:pPr>
        <w:jc w:val="center"/>
        <w:rPr>
          <w:rFonts w:ascii="Century" w:hAnsi="Century"/>
          <w:b/>
          <w:i/>
          <w:sz w:val="20"/>
          <w:szCs w:val="20"/>
        </w:rPr>
      </w:pPr>
    </w:p>
    <w:p w14:paraId="362C667E" w14:textId="77777777" w:rsidR="00C22710" w:rsidRDefault="00C22710" w:rsidP="0085438D">
      <w:pPr>
        <w:rPr>
          <w:rFonts w:ascii="Century" w:hAnsi="Century"/>
          <w:b/>
          <w:i/>
          <w:sz w:val="20"/>
          <w:szCs w:val="20"/>
        </w:rPr>
      </w:pPr>
    </w:p>
    <w:p w14:paraId="6064B468" w14:textId="77777777" w:rsidR="00C22710" w:rsidRDefault="00C22710" w:rsidP="0085438D">
      <w:pPr>
        <w:rPr>
          <w:rFonts w:ascii="Century" w:hAnsi="Century"/>
          <w:b/>
          <w:i/>
          <w:sz w:val="20"/>
          <w:szCs w:val="20"/>
        </w:rPr>
      </w:pPr>
    </w:p>
    <w:p w14:paraId="1269E24F" w14:textId="77777777" w:rsidR="00C22710" w:rsidRDefault="00C22710" w:rsidP="0085438D">
      <w:pPr>
        <w:rPr>
          <w:rFonts w:ascii="Century" w:hAnsi="Century"/>
          <w:b/>
          <w:i/>
          <w:sz w:val="20"/>
          <w:szCs w:val="20"/>
        </w:rPr>
      </w:pPr>
    </w:p>
    <w:p w14:paraId="031BB317" w14:textId="77777777" w:rsidR="00C22710" w:rsidRDefault="00C22710" w:rsidP="0085438D">
      <w:pPr>
        <w:rPr>
          <w:rFonts w:ascii="Century" w:hAnsi="Century"/>
          <w:b/>
          <w:i/>
          <w:sz w:val="20"/>
          <w:szCs w:val="20"/>
        </w:rPr>
      </w:pPr>
    </w:p>
    <w:p w14:paraId="58B22A48" w14:textId="77777777" w:rsidR="00C22710" w:rsidRPr="00C22710" w:rsidRDefault="00C22710" w:rsidP="0085438D">
      <w:pPr>
        <w:rPr>
          <w:rFonts w:ascii="Century" w:hAnsi="Century"/>
          <w:b/>
          <w:i/>
          <w:sz w:val="20"/>
          <w:szCs w:val="20"/>
        </w:rPr>
      </w:pPr>
    </w:p>
    <w:p w14:paraId="5126700B" w14:textId="4D2A110F" w:rsidR="00C22710" w:rsidRPr="00C22710" w:rsidRDefault="00C22710" w:rsidP="0085438D">
      <w:pPr>
        <w:rPr>
          <w:rFonts w:ascii="Century" w:hAnsi="Century"/>
          <w:i/>
          <w:sz w:val="20"/>
          <w:szCs w:val="20"/>
        </w:rPr>
      </w:pPr>
    </w:p>
    <w:sectPr w:rsidR="00C22710" w:rsidRPr="00C22710" w:rsidSect="00C2271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BABC" w14:textId="77777777" w:rsidR="00692712" w:rsidRDefault="00692712" w:rsidP="007F2661">
      <w:pPr>
        <w:spacing w:after="0" w:line="240" w:lineRule="auto"/>
      </w:pPr>
      <w:r>
        <w:separator/>
      </w:r>
    </w:p>
  </w:endnote>
  <w:endnote w:type="continuationSeparator" w:id="0">
    <w:p w14:paraId="4344AB1B" w14:textId="77777777" w:rsidR="00692712" w:rsidRDefault="00692712" w:rsidP="007F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DBFD" w14:textId="4BFCA139" w:rsidR="007F2661" w:rsidRDefault="007F2661">
    <w:pPr>
      <w:pStyle w:val="Footer"/>
    </w:pPr>
    <w:r>
      <w:t>Rev</w:t>
    </w:r>
    <w:r w:rsidR="0004107C">
      <w:t>. 01/2023</w:t>
    </w:r>
  </w:p>
  <w:p w14:paraId="79702078" w14:textId="77777777" w:rsidR="007F2661" w:rsidRDefault="007F2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CD62" w14:textId="77777777" w:rsidR="00692712" w:rsidRDefault="00692712" w:rsidP="007F2661">
      <w:pPr>
        <w:spacing w:after="0" w:line="240" w:lineRule="auto"/>
      </w:pPr>
      <w:r>
        <w:separator/>
      </w:r>
    </w:p>
  </w:footnote>
  <w:footnote w:type="continuationSeparator" w:id="0">
    <w:p w14:paraId="6F4C9DF4" w14:textId="77777777" w:rsidR="00692712" w:rsidRDefault="00692712" w:rsidP="007F2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B49BC"/>
    <w:multiLevelType w:val="hybridMultilevel"/>
    <w:tmpl w:val="C0B80BCA"/>
    <w:lvl w:ilvl="0" w:tplc="25A20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83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02"/>
    <w:rsid w:val="0004107C"/>
    <w:rsid w:val="001331D7"/>
    <w:rsid w:val="001860F2"/>
    <w:rsid w:val="00436A2A"/>
    <w:rsid w:val="00467902"/>
    <w:rsid w:val="00692712"/>
    <w:rsid w:val="00755AAA"/>
    <w:rsid w:val="007F2661"/>
    <w:rsid w:val="007F2B89"/>
    <w:rsid w:val="008507B0"/>
    <w:rsid w:val="0085438D"/>
    <w:rsid w:val="009063FC"/>
    <w:rsid w:val="009321BB"/>
    <w:rsid w:val="00955715"/>
    <w:rsid w:val="009726FE"/>
    <w:rsid w:val="009A28BF"/>
    <w:rsid w:val="009B7CDE"/>
    <w:rsid w:val="00B27B2E"/>
    <w:rsid w:val="00B621CB"/>
    <w:rsid w:val="00BD0905"/>
    <w:rsid w:val="00C22710"/>
    <w:rsid w:val="00CB4386"/>
    <w:rsid w:val="00D8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A382"/>
  <w15:docId w15:val="{B5E05DFD-01EB-4296-9005-FE569ABB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7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661"/>
  </w:style>
  <w:style w:type="paragraph" w:styleId="Footer">
    <w:name w:val="footer"/>
    <w:basedOn w:val="Normal"/>
    <w:link w:val="FooterChar"/>
    <w:uiPriority w:val="99"/>
    <w:unhideWhenUsed/>
    <w:rsid w:val="007F2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</dc:creator>
  <cp:lastModifiedBy>TP Admin</cp:lastModifiedBy>
  <cp:revision>2</cp:revision>
  <dcterms:created xsi:type="dcterms:W3CDTF">2023-01-10T22:03:00Z</dcterms:created>
  <dcterms:modified xsi:type="dcterms:W3CDTF">2023-01-10T22:03:00Z</dcterms:modified>
</cp:coreProperties>
</file>